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0B" w:rsidRPr="007F7E19" w:rsidRDefault="00BB4D0B" w:rsidP="00BB4D0B">
      <w:pPr>
        <w:spacing w:after="0" w:line="240" w:lineRule="auto"/>
        <w:rPr>
          <w:rFonts w:ascii="Century Gothic" w:hAnsi="Century Gothic"/>
          <w:b/>
        </w:rPr>
      </w:pPr>
      <w:bookmarkStart w:id="0" w:name="_GoBack"/>
      <w:bookmarkEnd w:id="0"/>
      <w:r w:rsidRPr="007F7E19">
        <w:rPr>
          <w:rFonts w:ascii="Century Gothic" w:hAnsi="Century Gothic"/>
          <w:b/>
        </w:rPr>
        <w:t>Long-Term Sustainable Funding for Cooperation on Forest and Watershed Restoration</w:t>
      </w:r>
    </w:p>
    <w:p w:rsidR="00BB4D0B" w:rsidRDefault="00BB4D0B" w:rsidP="00BB4D0B">
      <w:pPr>
        <w:spacing w:after="0" w:line="240" w:lineRule="auto"/>
      </w:pPr>
    </w:p>
    <w:p w:rsidR="00BB4D0B" w:rsidRPr="007F7E19" w:rsidRDefault="008D66E0" w:rsidP="00BB4D0B">
      <w:pPr>
        <w:spacing w:after="0" w:line="240" w:lineRule="auto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overall financial need</w:t>
      </w:r>
      <w:r w:rsidR="00BB4D0B" w:rsidRPr="007F7E19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Ind w:w="1345" w:type="dxa"/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1170"/>
        <w:gridCol w:w="1440"/>
        <w:gridCol w:w="1080"/>
        <w:gridCol w:w="1260"/>
      </w:tblGrid>
      <w:tr w:rsidR="00BB4D0B" w:rsidTr="009E6093">
        <w:tc>
          <w:tcPr>
            <w:tcW w:w="1530" w:type="dxa"/>
            <w:vAlign w:val="center"/>
          </w:tcPr>
          <w:p w:rsidR="00BB4D0B" w:rsidRPr="007F7E19" w:rsidRDefault="00BB4D0B" w:rsidP="009E6093">
            <w:pPr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Needed treatments</w:t>
            </w:r>
          </w:p>
        </w:tc>
        <w:tc>
          <w:tcPr>
            <w:tcW w:w="1440" w:type="dxa"/>
            <w:vAlign w:val="center"/>
          </w:tcPr>
          <w:p w:rsidR="00BB4D0B" w:rsidRPr="007F7E19" w:rsidRDefault="00BB4D0B" w:rsidP="009E6093">
            <w:pPr>
              <w:jc w:val="center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Frequent fire</w:t>
            </w:r>
          </w:p>
        </w:tc>
        <w:tc>
          <w:tcPr>
            <w:tcW w:w="1170" w:type="dxa"/>
            <w:vAlign w:val="center"/>
          </w:tcPr>
          <w:p w:rsidR="00BB4D0B" w:rsidRPr="007F7E19" w:rsidRDefault="00BB4D0B" w:rsidP="009E6093">
            <w:pPr>
              <w:jc w:val="center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40%</w:t>
            </w:r>
          </w:p>
        </w:tc>
        <w:tc>
          <w:tcPr>
            <w:tcW w:w="1440" w:type="dxa"/>
            <w:vAlign w:val="center"/>
          </w:tcPr>
          <w:p w:rsidR="00BB4D0B" w:rsidRPr="007F7E19" w:rsidRDefault="00BB4D0B" w:rsidP="009E6093">
            <w:pPr>
              <w:jc w:val="center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Annual target</w:t>
            </w:r>
          </w:p>
        </w:tc>
        <w:tc>
          <w:tcPr>
            <w:tcW w:w="1080" w:type="dxa"/>
            <w:vAlign w:val="center"/>
          </w:tcPr>
          <w:p w:rsidR="00BB4D0B" w:rsidRPr="007F7E19" w:rsidRDefault="00BB4D0B" w:rsidP="009E6093">
            <w:pPr>
              <w:jc w:val="center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cost/acre</w:t>
            </w:r>
          </w:p>
        </w:tc>
        <w:tc>
          <w:tcPr>
            <w:tcW w:w="1260" w:type="dxa"/>
            <w:vAlign w:val="center"/>
          </w:tcPr>
          <w:p w:rsidR="00BB4D0B" w:rsidRPr="007F7E19" w:rsidRDefault="00BB4D0B" w:rsidP="009E6093">
            <w:pPr>
              <w:jc w:val="center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Annual</w:t>
            </w:r>
          </w:p>
        </w:tc>
      </w:tr>
      <w:tr w:rsidR="00BB4D0B" w:rsidTr="009E6093">
        <w:tc>
          <w:tcPr>
            <w:tcW w:w="1530" w:type="dxa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BB4D0B" w:rsidRPr="007F7E19" w:rsidRDefault="00BB4D0B" w:rsidP="009E6093">
            <w:pPr>
              <w:jc w:val="center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acres</w:t>
            </w:r>
          </w:p>
        </w:tc>
        <w:tc>
          <w:tcPr>
            <w:tcW w:w="2340" w:type="dxa"/>
            <w:gridSpan w:val="2"/>
            <w:vAlign w:val="center"/>
          </w:tcPr>
          <w:p w:rsidR="00BB4D0B" w:rsidRPr="007F7E19" w:rsidRDefault="00BB4D0B" w:rsidP="009E6093">
            <w:pPr>
              <w:jc w:val="center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$</w:t>
            </w:r>
          </w:p>
        </w:tc>
      </w:tr>
      <w:tr w:rsidR="00BB4D0B" w:rsidTr="009E6093">
        <w:tc>
          <w:tcPr>
            <w:tcW w:w="153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Pine</w:t>
            </w:r>
          </w:p>
        </w:tc>
        <w:tc>
          <w:tcPr>
            <w:tcW w:w="144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2,597,000</w:t>
            </w:r>
          </w:p>
        </w:tc>
        <w:tc>
          <w:tcPr>
            <w:tcW w:w="117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1,038,800</w:t>
            </w:r>
          </w:p>
        </w:tc>
        <w:tc>
          <w:tcPr>
            <w:tcW w:w="144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51,940</w:t>
            </w:r>
          </w:p>
        </w:tc>
        <w:tc>
          <w:tcPr>
            <w:tcW w:w="108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25,970,000</w:t>
            </w:r>
          </w:p>
        </w:tc>
      </w:tr>
      <w:tr w:rsidR="00BB4D0B" w:rsidTr="009E6093">
        <w:tc>
          <w:tcPr>
            <w:tcW w:w="153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Mixed conifer</w:t>
            </w:r>
          </w:p>
        </w:tc>
        <w:tc>
          <w:tcPr>
            <w:tcW w:w="144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922,000</w:t>
            </w:r>
          </w:p>
        </w:tc>
        <w:tc>
          <w:tcPr>
            <w:tcW w:w="117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368,800</w:t>
            </w:r>
          </w:p>
        </w:tc>
        <w:tc>
          <w:tcPr>
            <w:tcW w:w="144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18,440</w:t>
            </w:r>
          </w:p>
        </w:tc>
        <w:tc>
          <w:tcPr>
            <w:tcW w:w="108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14,752,000</w:t>
            </w:r>
          </w:p>
        </w:tc>
      </w:tr>
      <w:tr w:rsidR="00BB4D0B" w:rsidTr="009E6093">
        <w:tc>
          <w:tcPr>
            <w:tcW w:w="153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P-J</w:t>
            </w:r>
          </w:p>
        </w:tc>
        <w:tc>
          <w:tcPr>
            <w:tcW w:w="144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3,401,750</w:t>
            </w:r>
          </w:p>
        </w:tc>
        <w:tc>
          <w:tcPr>
            <w:tcW w:w="117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1,360,700</w:t>
            </w:r>
          </w:p>
        </w:tc>
        <w:tc>
          <w:tcPr>
            <w:tcW w:w="144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68,035</w:t>
            </w:r>
          </w:p>
        </w:tc>
        <w:tc>
          <w:tcPr>
            <w:tcW w:w="108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20,410,500</w:t>
            </w:r>
          </w:p>
        </w:tc>
      </w:tr>
      <w:tr w:rsidR="00BB4D0B" w:rsidTr="009E6093">
        <w:tc>
          <w:tcPr>
            <w:tcW w:w="153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Total</w:t>
            </w:r>
          </w:p>
        </w:tc>
        <w:tc>
          <w:tcPr>
            <w:tcW w:w="144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6,920,750</w:t>
            </w:r>
          </w:p>
        </w:tc>
        <w:tc>
          <w:tcPr>
            <w:tcW w:w="117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2,768,300</w:t>
            </w:r>
          </w:p>
        </w:tc>
        <w:tc>
          <w:tcPr>
            <w:tcW w:w="144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138,415</w:t>
            </w:r>
          </w:p>
        </w:tc>
        <w:tc>
          <w:tcPr>
            <w:tcW w:w="108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B4D0B" w:rsidRPr="007F7E19" w:rsidRDefault="00BB4D0B" w:rsidP="009E6093">
            <w:pPr>
              <w:jc w:val="right"/>
              <w:rPr>
                <w:sz w:val="18"/>
                <w:szCs w:val="18"/>
              </w:rPr>
            </w:pPr>
            <w:r w:rsidRPr="007F7E19">
              <w:rPr>
                <w:sz w:val="18"/>
                <w:szCs w:val="18"/>
              </w:rPr>
              <w:t>61,132,500</w:t>
            </w:r>
          </w:p>
        </w:tc>
      </w:tr>
    </w:tbl>
    <w:p w:rsidR="00BB4D0B" w:rsidRPr="008D66E0" w:rsidRDefault="00BB4D0B" w:rsidP="00BB4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6E0">
        <w:rPr>
          <w:rFonts w:ascii="Times New Roman" w:hAnsi="Times New Roman" w:cs="Times New Roman"/>
          <w:sz w:val="20"/>
          <w:szCs w:val="20"/>
        </w:rPr>
        <w:t xml:space="preserve">Currently, about 33,000 acres are being treated annually, at an investment of about $16.5 million.  This leaves a gap between annual needs for treatments and annual investments in treatment of $44.6 million. We can not fill that gap with only state money, and anticipate that federal agencies, local governments, and private funding will step up in response to the state’s action.  </w:t>
      </w:r>
      <w:r w:rsidR="008D66E0" w:rsidRPr="008D66E0">
        <w:rPr>
          <w:rFonts w:ascii="Times New Roman" w:hAnsi="Times New Roman" w:cs="Times New Roman"/>
          <w:sz w:val="20"/>
          <w:szCs w:val="20"/>
        </w:rPr>
        <w:t>Given that no single entity can or should bear the entire cost, it makes sense for one-third of this need to come from the State, with the remaining coming from other sources.</w:t>
      </w:r>
    </w:p>
    <w:p w:rsidR="00BB4D0B" w:rsidRPr="00851E9B" w:rsidRDefault="00BB4D0B" w:rsidP="00BB4D0B">
      <w:pPr>
        <w:spacing w:after="0" w:line="240" w:lineRule="auto"/>
        <w:rPr>
          <w:rFonts w:ascii="Times New Roman" w:hAnsi="Times New Roman" w:cs="Times New Roman"/>
        </w:rPr>
      </w:pPr>
      <w:r w:rsidRPr="00851E9B">
        <w:rPr>
          <w:rFonts w:ascii="Times New Roman" w:hAnsi="Times New Roman" w:cs="Times New Roman"/>
        </w:rPr>
        <w:t>The requested support from the state is $15 million per year, with the majority going to on-the-ground treatments.  This fund would close in 20 years, unless renewed.</w:t>
      </w:r>
    </w:p>
    <w:p w:rsidR="00BB4D0B" w:rsidRPr="00851E9B" w:rsidRDefault="00BB4D0B" w:rsidP="00BB4D0B">
      <w:pPr>
        <w:spacing w:after="0" w:line="240" w:lineRule="auto"/>
        <w:rPr>
          <w:rFonts w:ascii="Times New Roman" w:hAnsi="Times New Roman" w:cs="Times New Roman"/>
        </w:rPr>
      </w:pPr>
    </w:p>
    <w:p w:rsidR="00BB4D0B" w:rsidRPr="007F7E19" w:rsidRDefault="00BB4D0B" w:rsidP="00BB4D0B">
      <w:pPr>
        <w:spacing w:after="0" w:line="240" w:lineRule="auto"/>
        <w:rPr>
          <w:sz w:val="20"/>
          <w:szCs w:val="20"/>
        </w:rPr>
      </w:pPr>
      <w:r w:rsidRPr="007F7E19">
        <w:rPr>
          <w:rFonts w:ascii="Century Gothic" w:hAnsi="Century Gothic"/>
          <w:sz w:val="20"/>
          <w:szCs w:val="20"/>
        </w:rPr>
        <w:t xml:space="preserve">What </w:t>
      </w:r>
      <w:r w:rsidR="008D66E0">
        <w:rPr>
          <w:rFonts w:ascii="Century Gothic" w:hAnsi="Century Gothic"/>
          <w:sz w:val="20"/>
          <w:szCs w:val="20"/>
        </w:rPr>
        <w:t>should</w:t>
      </w:r>
      <w:r w:rsidRPr="007F7E19">
        <w:rPr>
          <w:rFonts w:ascii="Century Gothic" w:hAnsi="Century Gothic"/>
          <w:sz w:val="20"/>
          <w:szCs w:val="20"/>
        </w:rPr>
        <w:t xml:space="preserve"> the money go to?</w:t>
      </w:r>
    </w:p>
    <w:p w:rsidR="00BB4D0B" w:rsidRPr="00851E9B" w:rsidRDefault="00BB4D0B" w:rsidP="00BB4D0B">
      <w:pPr>
        <w:spacing w:after="0" w:line="240" w:lineRule="auto"/>
        <w:rPr>
          <w:rFonts w:ascii="Times New Roman" w:hAnsi="Times New Roman" w:cs="Times New Roman"/>
        </w:rPr>
      </w:pPr>
      <w:r w:rsidRPr="00851E9B">
        <w:rPr>
          <w:rFonts w:ascii="Times New Roman" w:hAnsi="Times New Roman" w:cs="Times New Roman"/>
        </w:rPr>
        <w:t>- thinning [on-the-ground restoration treatments], this will be not less than 60-70% of funds</w:t>
      </w:r>
    </w:p>
    <w:p w:rsidR="00BB4D0B" w:rsidRPr="00851E9B" w:rsidRDefault="00BB4D0B" w:rsidP="00BB4D0B">
      <w:pPr>
        <w:spacing w:after="0" w:line="240" w:lineRule="auto"/>
        <w:rPr>
          <w:rFonts w:ascii="Times New Roman" w:hAnsi="Times New Roman" w:cs="Times New Roman"/>
        </w:rPr>
      </w:pPr>
      <w:r w:rsidRPr="00851E9B">
        <w:rPr>
          <w:rFonts w:ascii="Times New Roman" w:hAnsi="Times New Roman" w:cs="Times New Roman"/>
        </w:rPr>
        <w:t>- planning (up to 50% of the costs for any one project)</w:t>
      </w:r>
    </w:p>
    <w:p w:rsidR="00BB4D0B" w:rsidRPr="00851E9B" w:rsidRDefault="00BB4D0B" w:rsidP="00BB4D0B">
      <w:pPr>
        <w:spacing w:after="0" w:line="240" w:lineRule="auto"/>
        <w:rPr>
          <w:rFonts w:ascii="Times New Roman" w:hAnsi="Times New Roman" w:cs="Times New Roman"/>
        </w:rPr>
      </w:pPr>
      <w:r w:rsidRPr="00851E9B">
        <w:rPr>
          <w:rFonts w:ascii="Times New Roman" w:hAnsi="Times New Roman" w:cs="Times New Roman"/>
        </w:rPr>
        <w:t xml:space="preserve">- </w:t>
      </w:r>
      <w:proofErr w:type="gramStart"/>
      <w:r w:rsidRPr="00851E9B">
        <w:rPr>
          <w:rFonts w:ascii="Times New Roman" w:hAnsi="Times New Roman" w:cs="Times New Roman"/>
        </w:rPr>
        <w:t>economic</w:t>
      </w:r>
      <w:proofErr w:type="gramEnd"/>
      <w:r w:rsidRPr="00851E9B">
        <w:rPr>
          <w:rFonts w:ascii="Times New Roman" w:hAnsi="Times New Roman" w:cs="Times New Roman"/>
        </w:rPr>
        <w:t xml:space="preserve"> development and wood utilization</w:t>
      </w:r>
    </w:p>
    <w:p w:rsidR="00BB4D0B" w:rsidRPr="00851E9B" w:rsidRDefault="00BB4D0B" w:rsidP="00BB4D0B">
      <w:pPr>
        <w:spacing w:after="0" w:line="240" w:lineRule="auto"/>
        <w:rPr>
          <w:rFonts w:ascii="Times New Roman" w:hAnsi="Times New Roman" w:cs="Times New Roman"/>
        </w:rPr>
      </w:pPr>
      <w:r w:rsidRPr="00851E9B">
        <w:rPr>
          <w:rFonts w:ascii="Times New Roman" w:hAnsi="Times New Roman" w:cs="Times New Roman"/>
        </w:rPr>
        <w:t xml:space="preserve">- </w:t>
      </w:r>
      <w:proofErr w:type="gramStart"/>
      <w:r w:rsidRPr="00851E9B">
        <w:rPr>
          <w:rFonts w:ascii="Times New Roman" w:hAnsi="Times New Roman" w:cs="Times New Roman"/>
        </w:rPr>
        <w:t>work</w:t>
      </w:r>
      <w:proofErr w:type="gramEnd"/>
      <w:r w:rsidRPr="00851E9B">
        <w:rPr>
          <w:rFonts w:ascii="Times New Roman" w:hAnsi="Times New Roman" w:cs="Times New Roman"/>
        </w:rPr>
        <w:t xml:space="preserve"> force development</w:t>
      </w:r>
    </w:p>
    <w:p w:rsidR="00BB4D0B" w:rsidRPr="00851E9B" w:rsidRDefault="00BB4D0B" w:rsidP="00BB4D0B">
      <w:pPr>
        <w:spacing w:after="0" w:line="240" w:lineRule="auto"/>
      </w:pPr>
    </w:p>
    <w:p w:rsidR="00BB4D0B" w:rsidRPr="007F7E19" w:rsidRDefault="00BB4D0B" w:rsidP="00BB4D0B">
      <w:pPr>
        <w:spacing w:after="0" w:line="240" w:lineRule="auto"/>
        <w:rPr>
          <w:sz w:val="20"/>
          <w:szCs w:val="20"/>
        </w:rPr>
      </w:pPr>
      <w:r w:rsidRPr="007F7E19">
        <w:rPr>
          <w:rFonts w:ascii="Century Gothic" w:hAnsi="Century Gothic"/>
          <w:sz w:val="20"/>
          <w:szCs w:val="20"/>
        </w:rPr>
        <w:t>How will the money be distributed?</w:t>
      </w:r>
    </w:p>
    <w:p w:rsidR="00BB4D0B" w:rsidRPr="00851E9B" w:rsidRDefault="00BB4D0B" w:rsidP="00BB4D0B">
      <w:pPr>
        <w:spacing w:after="0" w:line="240" w:lineRule="auto"/>
        <w:rPr>
          <w:rFonts w:ascii="Times New Roman" w:hAnsi="Times New Roman" w:cs="Times New Roman"/>
        </w:rPr>
      </w:pPr>
      <w:r w:rsidRPr="00851E9B">
        <w:rPr>
          <w:rFonts w:ascii="Times New Roman" w:hAnsi="Times New Roman" w:cs="Times New Roman"/>
        </w:rPr>
        <w:t xml:space="preserve">Four possibilities for administering the funding have been thoroughly discussed.  </w:t>
      </w:r>
      <w:r>
        <w:rPr>
          <w:rFonts w:ascii="Times New Roman" w:hAnsi="Times New Roman" w:cs="Times New Roman"/>
        </w:rPr>
        <w:t>T</w:t>
      </w:r>
      <w:r w:rsidRPr="00851E9B">
        <w:rPr>
          <w:rFonts w:ascii="Times New Roman" w:hAnsi="Times New Roman" w:cs="Times New Roman"/>
        </w:rPr>
        <w:t>he best place to administer the fund (and to manage the list) is the Forest and Watershed Health Coordinating Group (FWHCG) of State Forestry.  Anything else would be a duplicate effort, since most of the agencies and groups that would be involved in fund administration are already members of the FWHCG.  Shortcomings that need to be addressed are: the FWHCG does not currently have sufficient structure, and will need to be formalized as a review board; Econ Dev and either NMFA or DFA need to be represented; decision authority needs to reside in the group</w:t>
      </w:r>
      <w:r w:rsidR="008D66E0">
        <w:rPr>
          <w:rFonts w:ascii="Times New Roman" w:hAnsi="Times New Roman" w:cs="Times New Roman"/>
        </w:rPr>
        <w:t>/board.</w:t>
      </w:r>
      <w:r w:rsidRPr="00851E9B">
        <w:rPr>
          <w:rFonts w:ascii="Times New Roman" w:hAnsi="Times New Roman" w:cs="Times New Roman"/>
        </w:rPr>
        <w:t xml:space="preserve"> </w:t>
      </w:r>
    </w:p>
    <w:p w:rsidR="00BB4D0B" w:rsidRPr="00851E9B" w:rsidRDefault="00BB4D0B" w:rsidP="00BB4D0B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51E9B">
        <w:rPr>
          <w:rFonts w:ascii="Times New Roman" w:hAnsi="Times New Roman" w:cs="Times New Roman"/>
          <w:b w:val="0"/>
          <w:color w:val="auto"/>
          <w:sz w:val="22"/>
          <w:szCs w:val="22"/>
        </w:rPr>
        <w:t>Criteria for use of long-term funding once available:</w:t>
      </w:r>
    </w:p>
    <w:p w:rsidR="00BB4D0B" w:rsidRPr="00851E9B" w:rsidRDefault="00BB4D0B" w:rsidP="00BB4D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1E9B">
        <w:rPr>
          <w:sz w:val="22"/>
          <w:szCs w:val="22"/>
        </w:rPr>
        <w:t>NEPA-ready (or other planning completed on non-federal lands)</w:t>
      </w:r>
    </w:p>
    <w:p w:rsidR="00BB4D0B" w:rsidRPr="00851E9B" w:rsidRDefault="00BB4D0B" w:rsidP="00BB4D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1E9B">
        <w:rPr>
          <w:sz w:val="22"/>
          <w:szCs w:val="22"/>
        </w:rPr>
        <w:t>High priority wildfire areas</w:t>
      </w:r>
    </w:p>
    <w:p w:rsidR="00BB4D0B" w:rsidRPr="00851E9B" w:rsidRDefault="00BB4D0B" w:rsidP="00BB4D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1E9B">
        <w:rPr>
          <w:sz w:val="22"/>
          <w:szCs w:val="22"/>
        </w:rPr>
        <w:t xml:space="preserve">Protects water used by people </w:t>
      </w:r>
    </w:p>
    <w:p w:rsidR="00BB4D0B" w:rsidRPr="00851E9B" w:rsidRDefault="00BB4D0B" w:rsidP="00BB4D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1E9B">
        <w:rPr>
          <w:sz w:val="22"/>
          <w:szCs w:val="22"/>
        </w:rPr>
        <w:t>Community readiness to achieve wildfire risk-reduction</w:t>
      </w:r>
    </w:p>
    <w:p w:rsidR="00BB4D0B" w:rsidRPr="00851E9B" w:rsidRDefault="008D66E0" w:rsidP="00BB4D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an area with</w:t>
      </w:r>
      <w:r w:rsidR="00BB4D0B" w:rsidRPr="00851E9B">
        <w:rPr>
          <w:sz w:val="22"/>
          <w:szCs w:val="22"/>
        </w:rPr>
        <w:t xml:space="preserve"> wood sup</w:t>
      </w:r>
      <w:r w:rsidR="00BB4D0B">
        <w:rPr>
          <w:sz w:val="22"/>
          <w:szCs w:val="22"/>
        </w:rPr>
        <w:t xml:space="preserve">ply for biomass, </w:t>
      </w:r>
      <w:r w:rsidR="00BB4D0B" w:rsidRPr="00851E9B">
        <w:rPr>
          <w:sz w:val="22"/>
          <w:szCs w:val="22"/>
        </w:rPr>
        <w:t>small diameter utilization, or traditional forest products</w:t>
      </w:r>
    </w:p>
    <w:p w:rsidR="00BB4D0B" w:rsidRPr="00851E9B" w:rsidRDefault="008D66E0" w:rsidP="00BB4D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BB4D0B" w:rsidRPr="00851E9B">
        <w:rPr>
          <w:sz w:val="22"/>
          <w:szCs w:val="22"/>
        </w:rPr>
        <w:t xml:space="preserve">argeted at priority areas, not </w:t>
      </w:r>
      <w:proofErr w:type="spellStart"/>
      <w:r w:rsidR="00BB4D0B" w:rsidRPr="00851E9B">
        <w:rPr>
          <w:sz w:val="22"/>
          <w:szCs w:val="22"/>
        </w:rPr>
        <w:t>shotgunned</w:t>
      </w:r>
      <w:proofErr w:type="spellEnd"/>
      <w:r w:rsidR="00BB4D0B" w:rsidRPr="00851E9B">
        <w:rPr>
          <w:sz w:val="22"/>
          <w:szCs w:val="22"/>
        </w:rPr>
        <w:t xml:space="preserve"> across the landscape</w:t>
      </w:r>
    </w:p>
    <w:p w:rsidR="00BB4D0B" w:rsidRPr="00851E9B" w:rsidRDefault="008D66E0" w:rsidP="00BB4D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Already a priority in the</w:t>
      </w:r>
      <w:r w:rsidR="00BB4D0B" w:rsidRPr="00851E9B">
        <w:rPr>
          <w:sz w:val="22"/>
          <w:szCs w:val="22"/>
        </w:rPr>
        <w:t xml:space="preserve"> Forest &amp; Watershed Health Plan, Forest Action Plan, Water Fund (which has the most recent prioritization), Communities at Risk (CARs), CWPPs, </w:t>
      </w:r>
      <w:proofErr w:type="spellStart"/>
      <w:r w:rsidR="00BB4D0B" w:rsidRPr="00851E9B">
        <w:rPr>
          <w:sz w:val="22"/>
          <w:szCs w:val="22"/>
        </w:rPr>
        <w:t>etc</w:t>
      </w:r>
      <w:proofErr w:type="spellEnd"/>
    </w:p>
    <w:p w:rsidR="00BB4D0B" w:rsidRPr="00851E9B" w:rsidRDefault="00BB4D0B" w:rsidP="00BB4D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1E9B">
        <w:rPr>
          <w:sz w:val="22"/>
          <w:szCs w:val="22"/>
        </w:rPr>
        <w:t xml:space="preserve">Create incentives to increase investment by federal/state/local/tribal/private, including new investment by downstream water users to manage forested headwaters and water sources </w:t>
      </w:r>
    </w:p>
    <w:p w:rsidR="00BB4D0B" w:rsidRPr="00851E9B" w:rsidRDefault="00BB4D0B" w:rsidP="00BB4D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1E9B">
        <w:rPr>
          <w:sz w:val="22"/>
          <w:szCs w:val="22"/>
        </w:rPr>
        <w:t xml:space="preserve">Leverage and/or match funding from all sources (federal/state/local/tribal) and program types (water, forest, fire, </w:t>
      </w:r>
      <w:r>
        <w:rPr>
          <w:sz w:val="22"/>
          <w:szCs w:val="22"/>
        </w:rPr>
        <w:t xml:space="preserve">wildlife habitat, </w:t>
      </w:r>
      <w:r w:rsidRPr="00851E9B">
        <w:rPr>
          <w:sz w:val="22"/>
          <w:szCs w:val="22"/>
        </w:rPr>
        <w:t xml:space="preserve">and economic development) </w:t>
      </w:r>
    </w:p>
    <w:p w:rsidR="00BB4D0B" w:rsidRPr="00851E9B" w:rsidRDefault="00BB4D0B" w:rsidP="00BB4D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1E9B">
        <w:rPr>
          <w:sz w:val="22"/>
          <w:szCs w:val="22"/>
        </w:rPr>
        <w:t>Incorporate actions recommended by existing plans and where new plans are developed, seek to integrate forest, fire, and water management with community and economic development.</w:t>
      </w:r>
    </w:p>
    <w:p w:rsidR="00BB4D0B" w:rsidRPr="00851E9B" w:rsidRDefault="00BB4D0B" w:rsidP="00BB4D0B">
      <w:pPr>
        <w:spacing w:after="0" w:line="240" w:lineRule="auto"/>
      </w:pPr>
    </w:p>
    <w:p w:rsidR="00BB4D0B" w:rsidRPr="007F7E19" w:rsidRDefault="00BB4D0B" w:rsidP="00BB4D0B">
      <w:pPr>
        <w:spacing w:after="0" w:line="240" w:lineRule="auto"/>
        <w:rPr>
          <w:sz w:val="20"/>
          <w:szCs w:val="20"/>
        </w:rPr>
      </w:pPr>
      <w:r w:rsidRPr="007F7E19">
        <w:rPr>
          <w:rFonts w:ascii="Century Gothic" w:hAnsi="Century Gothic"/>
          <w:sz w:val="20"/>
          <w:szCs w:val="20"/>
        </w:rPr>
        <w:t xml:space="preserve">Where will the money come from?  </w:t>
      </w:r>
    </w:p>
    <w:p w:rsidR="00FF67C3" w:rsidRDefault="00BB4D0B" w:rsidP="00BB4D0B">
      <w:pPr>
        <w:spacing w:after="0" w:line="240" w:lineRule="auto"/>
        <w:jc w:val="center"/>
      </w:pPr>
      <w:r>
        <w:t>#   #   #</w:t>
      </w:r>
    </w:p>
    <w:sectPr w:rsidR="00FF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68AC"/>
    <w:multiLevelType w:val="hybridMultilevel"/>
    <w:tmpl w:val="8088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0B"/>
    <w:rsid w:val="00001E60"/>
    <w:rsid w:val="00007A6B"/>
    <w:rsid w:val="00023D2C"/>
    <w:rsid w:val="000253EC"/>
    <w:rsid w:val="000260CF"/>
    <w:rsid w:val="00030482"/>
    <w:rsid w:val="00040D57"/>
    <w:rsid w:val="000453E1"/>
    <w:rsid w:val="000457C7"/>
    <w:rsid w:val="00056715"/>
    <w:rsid w:val="00057B46"/>
    <w:rsid w:val="00064D71"/>
    <w:rsid w:val="000727E9"/>
    <w:rsid w:val="00077CA1"/>
    <w:rsid w:val="00096B39"/>
    <w:rsid w:val="000977C7"/>
    <w:rsid w:val="000A2A56"/>
    <w:rsid w:val="000A5899"/>
    <w:rsid w:val="000D6797"/>
    <w:rsid w:val="000E0A21"/>
    <w:rsid w:val="000E5D94"/>
    <w:rsid w:val="000F0A45"/>
    <w:rsid w:val="000F5107"/>
    <w:rsid w:val="000F6559"/>
    <w:rsid w:val="00102C14"/>
    <w:rsid w:val="00107282"/>
    <w:rsid w:val="0011634B"/>
    <w:rsid w:val="00132058"/>
    <w:rsid w:val="00133360"/>
    <w:rsid w:val="00145DF5"/>
    <w:rsid w:val="00146CB9"/>
    <w:rsid w:val="001504FD"/>
    <w:rsid w:val="00157DFE"/>
    <w:rsid w:val="00170889"/>
    <w:rsid w:val="00171076"/>
    <w:rsid w:val="0017656D"/>
    <w:rsid w:val="00176738"/>
    <w:rsid w:val="00182B51"/>
    <w:rsid w:val="00182EBC"/>
    <w:rsid w:val="001926ED"/>
    <w:rsid w:val="00194F66"/>
    <w:rsid w:val="00196D25"/>
    <w:rsid w:val="001A05FD"/>
    <w:rsid w:val="001A16AF"/>
    <w:rsid w:val="001A4870"/>
    <w:rsid w:val="001B07B7"/>
    <w:rsid w:val="001B0D74"/>
    <w:rsid w:val="001B6E02"/>
    <w:rsid w:val="001B7EB3"/>
    <w:rsid w:val="001C4273"/>
    <w:rsid w:val="001C4479"/>
    <w:rsid w:val="001C550A"/>
    <w:rsid w:val="001C74A6"/>
    <w:rsid w:val="001C7BAA"/>
    <w:rsid w:val="001D67E8"/>
    <w:rsid w:val="001E29C4"/>
    <w:rsid w:val="001E6B31"/>
    <w:rsid w:val="001F4CE8"/>
    <w:rsid w:val="00201137"/>
    <w:rsid w:val="002035A5"/>
    <w:rsid w:val="00210287"/>
    <w:rsid w:val="00211313"/>
    <w:rsid w:val="00216729"/>
    <w:rsid w:val="00217599"/>
    <w:rsid w:val="00232027"/>
    <w:rsid w:val="00232482"/>
    <w:rsid w:val="002331C2"/>
    <w:rsid w:val="002372B1"/>
    <w:rsid w:val="00242C0A"/>
    <w:rsid w:val="00246298"/>
    <w:rsid w:val="00260C3A"/>
    <w:rsid w:val="00264C47"/>
    <w:rsid w:val="002655D9"/>
    <w:rsid w:val="00285B18"/>
    <w:rsid w:val="002914AD"/>
    <w:rsid w:val="002952A7"/>
    <w:rsid w:val="002A2352"/>
    <w:rsid w:val="002B13D0"/>
    <w:rsid w:val="002D41A1"/>
    <w:rsid w:val="002E01DC"/>
    <w:rsid w:val="002E4627"/>
    <w:rsid w:val="002E4787"/>
    <w:rsid w:val="002F145E"/>
    <w:rsid w:val="002F33BF"/>
    <w:rsid w:val="002F4867"/>
    <w:rsid w:val="002F4A45"/>
    <w:rsid w:val="002F7FEE"/>
    <w:rsid w:val="00303D3E"/>
    <w:rsid w:val="00306E36"/>
    <w:rsid w:val="003126B1"/>
    <w:rsid w:val="0031520E"/>
    <w:rsid w:val="00316D0C"/>
    <w:rsid w:val="0031703E"/>
    <w:rsid w:val="003208E3"/>
    <w:rsid w:val="003355EF"/>
    <w:rsid w:val="00337980"/>
    <w:rsid w:val="00345E6D"/>
    <w:rsid w:val="00351917"/>
    <w:rsid w:val="00357FB9"/>
    <w:rsid w:val="003637B8"/>
    <w:rsid w:val="0037641D"/>
    <w:rsid w:val="00380E5C"/>
    <w:rsid w:val="00381043"/>
    <w:rsid w:val="00390805"/>
    <w:rsid w:val="003A6F5A"/>
    <w:rsid w:val="003B03B9"/>
    <w:rsid w:val="003B4B3D"/>
    <w:rsid w:val="003C5540"/>
    <w:rsid w:val="003C5BBD"/>
    <w:rsid w:val="003D2A3E"/>
    <w:rsid w:val="003D69D9"/>
    <w:rsid w:val="003F77CD"/>
    <w:rsid w:val="00407873"/>
    <w:rsid w:val="00417F14"/>
    <w:rsid w:val="00424FBD"/>
    <w:rsid w:val="00441838"/>
    <w:rsid w:val="00472E7F"/>
    <w:rsid w:val="00477C8C"/>
    <w:rsid w:val="0048042D"/>
    <w:rsid w:val="00491953"/>
    <w:rsid w:val="004A0649"/>
    <w:rsid w:val="004A5097"/>
    <w:rsid w:val="004A6253"/>
    <w:rsid w:val="004C0A9C"/>
    <w:rsid w:val="004D1762"/>
    <w:rsid w:val="004D6013"/>
    <w:rsid w:val="004F0C28"/>
    <w:rsid w:val="004F245F"/>
    <w:rsid w:val="004F57B4"/>
    <w:rsid w:val="004F7214"/>
    <w:rsid w:val="00511899"/>
    <w:rsid w:val="0051244B"/>
    <w:rsid w:val="00523D1A"/>
    <w:rsid w:val="0053379A"/>
    <w:rsid w:val="00533D57"/>
    <w:rsid w:val="00536557"/>
    <w:rsid w:val="00540DB5"/>
    <w:rsid w:val="00564A29"/>
    <w:rsid w:val="00567508"/>
    <w:rsid w:val="0057024E"/>
    <w:rsid w:val="00573F10"/>
    <w:rsid w:val="005869A3"/>
    <w:rsid w:val="005900B9"/>
    <w:rsid w:val="005A23F7"/>
    <w:rsid w:val="005B055B"/>
    <w:rsid w:val="005B2E8E"/>
    <w:rsid w:val="005C581C"/>
    <w:rsid w:val="005C6C2E"/>
    <w:rsid w:val="005D4484"/>
    <w:rsid w:val="005D55B6"/>
    <w:rsid w:val="005F28E2"/>
    <w:rsid w:val="005F707E"/>
    <w:rsid w:val="00600962"/>
    <w:rsid w:val="00603034"/>
    <w:rsid w:val="006200AC"/>
    <w:rsid w:val="006337E8"/>
    <w:rsid w:val="00635F51"/>
    <w:rsid w:val="0063601B"/>
    <w:rsid w:val="00636231"/>
    <w:rsid w:val="006378C5"/>
    <w:rsid w:val="006417AE"/>
    <w:rsid w:val="00647F33"/>
    <w:rsid w:val="006506D9"/>
    <w:rsid w:val="00651493"/>
    <w:rsid w:val="00652B23"/>
    <w:rsid w:val="006621DF"/>
    <w:rsid w:val="00663ABD"/>
    <w:rsid w:val="006652C5"/>
    <w:rsid w:val="00667A3A"/>
    <w:rsid w:val="006700F0"/>
    <w:rsid w:val="0067188D"/>
    <w:rsid w:val="006802AD"/>
    <w:rsid w:val="00683033"/>
    <w:rsid w:val="00683617"/>
    <w:rsid w:val="00686CF7"/>
    <w:rsid w:val="00693E7D"/>
    <w:rsid w:val="006954D2"/>
    <w:rsid w:val="00697FEF"/>
    <w:rsid w:val="006A5E00"/>
    <w:rsid w:val="006B09F8"/>
    <w:rsid w:val="006B2E5F"/>
    <w:rsid w:val="006C5056"/>
    <w:rsid w:val="006D51C9"/>
    <w:rsid w:val="006F337C"/>
    <w:rsid w:val="006F4B4A"/>
    <w:rsid w:val="007008E7"/>
    <w:rsid w:val="00700B77"/>
    <w:rsid w:val="007027E8"/>
    <w:rsid w:val="00705470"/>
    <w:rsid w:val="007062E5"/>
    <w:rsid w:val="00711096"/>
    <w:rsid w:val="00713360"/>
    <w:rsid w:val="00714C8B"/>
    <w:rsid w:val="0073163C"/>
    <w:rsid w:val="0073529D"/>
    <w:rsid w:val="007378DA"/>
    <w:rsid w:val="00745D7D"/>
    <w:rsid w:val="0074690C"/>
    <w:rsid w:val="007479D4"/>
    <w:rsid w:val="00754297"/>
    <w:rsid w:val="007544A6"/>
    <w:rsid w:val="007558CD"/>
    <w:rsid w:val="00766E26"/>
    <w:rsid w:val="00767D77"/>
    <w:rsid w:val="00775E7E"/>
    <w:rsid w:val="007A132D"/>
    <w:rsid w:val="007A421C"/>
    <w:rsid w:val="007A44C5"/>
    <w:rsid w:val="007B27BA"/>
    <w:rsid w:val="007B32C7"/>
    <w:rsid w:val="007B766A"/>
    <w:rsid w:val="007B7679"/>
    <w:rsid w:val="007D684E"/>
    <w:rsid w:val="007E1146"/>
    <w:rsid w:val="007E63B6"/>
    <w:rsid w:val="007F1D46"/>
    <w:rsid w:val="007F2C94"/>
    <w:rsid w:val="007F2E1B"/>
    <w:rsid w:val="00804452"/>
    <w:rsid w:val="00805CB7"/>
    <w:rsid w:val="00812E97"/>
    <w:rsid w:val="008154CE"/>
    <w:rsid w:val="008235B9"/>
    <w:rsid w:val="00841AC9"/>
    <w:rsid w:val="00845D44"/>
    <w:rsid w:val="008577FE"/>
    <w:rsid w:val="00865E4C"/>
    <w:rsid w:val="00874421"/>
    <w:rsid w:val="00875F88"/>
    <w:rsid w:val="00877DD2"/>
    <w:rsid w:val="008B2AD0"/>
    <w:rsid w:val="008B3F57"/>
    <w:rsid w:val="008B7CA5"/>
    <w:rsid w:val="008C39EB"/>
    <w:rsid w:val="008D4053"/>
    <w:rsid w:val="008D66E0"/>
    <w:rsid w:val="008E3759"/>
    <w:rsid w:val="008F0C7D"/>
    <w:rsid w:val="00915486"/>
    <w:rsid w:val="009168D6"/>
    <w:rsid w:val="00916DA9"/>
    <w:rsid w:val="00924CB0"/>
    <w:rsid w:val="00932221"/>
    <w:rsid w:val="00936D22"/>
    <w:rsid w:val="00945508"/>
    <w:rsid w:val="00953A95"/>
    <w:rsid w:val="00957DD8"/>
    <w:rsid w:val="00963566"/>
    <w:rsid w:val="0096583B"/>
    <w:rsid w:val="0096642F"/>
    <w:rsid w:val="009748AB"/>
    <w:rsid w:val="00981E54"/>
    <w:rsid w:val="00984651"/>
    <w:rsid w:val="00990B1C"/>
    <w:rsid w:val="009A35D7"/>
    <w:rsid w:val="009A3AFB"/>
    <w:rsid w:val="009A484B"/>
    <w:rsid w:val="009C1EB5"/>
    <w:rsid w:val="009C473E"/>
    <w:rsid w:val="009D022F"/>
    <w:rsid w:val="009D2B70"/>
    <w:rsid w:val="009D7D59"/>
    <w:rsid w:val="009E54DB"/>
    <w:rsid w:val="009E790B"/>
    <w:rsid w:val="009F0CFB"/>
    <w:rsid w:val="009F6649"/>
    <w:rsid w:val="00A04111"/>
    <w:rsid w:val="00A06051"/>
    <w:rsid w:val="00A07365"/>
    <w:rsid w:val="00A119F1"/>
    <w:rsid w:val="00A16A65"/>
    <w:rsid w:val="00A27911"/>
    <w:rsid w:val="00A5646E"/>
    <w:rsid w:val="00A56D37"/>
    <w:rsid w:val="00A60F7D"/>
    <w:rsid w:val="00A62078"/>
    <w:rsid w:val="00A6287A"/>
    <w:rsid w:val="00A62B93"/>
    <w:rsid w:val="00A656A2"/>
    <w:rsid w:val="00A70BD0"/>
    <w:rsid w:val="00A81229"/>
    <w:rsid w:val="00A81CCC"/>
    <w:rsid w:val="00A845DD"/>
    <w:rsid w:val="00A955AD"/>
    <w:rsid w:val="00A96277"/>
    <w:rsid w:val="00AA5935"/>
    <w:rsid w:val="00AB1D80"/>
    <w:rsid w:val="00AD7860"/>
    <w:rsid w:val="00AE1295"/>
    <w:rsid w:val="00AE68C9"/>
    <w:rsid w:val="00AF0498"/>
    <w:rsid w:val="00AF561C"/>
    <w:rsid w:val="00B12E1D"/>
    <w:rsid w:val="00B24228"/>
    <w:rsid w:val="00B26572"/>
    <w:rsid w:val="00B320FC"/>
    <w:rsid w:val="00B332BA"/>
    <w:rsid w:val="00B33868"/>
    <w:rsid w:val="00B45A34"/>
    <w:rsid w:val="00B45CF8"/>
    <w:rsid w:val="00B47A00"/>
    <w:rsid w:val="00B60319"/>
    <w:rsid w:val="00B641B7"/>
    <w:rsid w:val="00B65598"/>
    <w:rsid w:val="00B75F49"/>
    <w:rsid w:val="00B83B1F"/>
    <w:rsid w:val="00BB4D0B"/>
    <w:rsid w:val="00BD17F0"/>
    <w:rsid w:val="00BD2099"/>
    <w:rsid w:val="00BE233F"/>
    <w:rsid w:val="00BE36D6"/>
    <w:rsid w:val="00BF3486"/>
    <w:rsid w:val="00BF5F19"/>
    <w:rsid w:val="00BF67BA"/>
    <w:rsid w:val="00C057CA"/>
    <w:rsid w:val="00C07510"/>
    <w:rsid w:val="00C077AD"/>
    <w:rsid w:val="00C10BB6"/>
    <w:rsid w:val="00C1121B"/>
    <w:rsid w:val="00C42545"/>
    <w:rsid w:val="00C51018"/>
    <w:rsid w:val="00C56F90"/>
    <w:rsid w:val="00C70E61"/>
    <w:rsid w:val="00C7398A"/>
    <w:rsid w:val="00C759F2"/>
    <w:rsid w:val="00C76041"/>
    <w:rsid w:val="00C86A04"/>
    <w:rsid w:val="00C96483"/>
    <w:rsid w:val="00CA0CDE"/>
    <w:rsid w:val="00CA4136"/>
    <w:rsid w:val="00CA4B04"/>
    <w:rsid w:val="00CC3041"/>
    <w:rsid w:val="00CC3C62"/>
    <w:rsid w:val="00CD58FE"/>
    <w:rsid w:val="00CD5D9B"/>
    <w:rsid w:val="00CD5FA7"/>
    <w:rsid w:val="00CE4F34"/>
    <w:rsid w:val="00CF1989"/>
    <w:rsid w:val="00CF7A4F"/>
    <w:rsid w:val="00D00F38"/>
    <w:rsid w:val="00D23220"/>
    <w:rsid w:val="00D23296"/>
    <w:rsid w:val="00D2539C"/>
    <w:rsid w:val="00D30C7B"/>
    <w:rsid w:val="00D4255F"/>
    <w:rsid w:val="00D53226"/>
    <w:rsid w:val="00D5723C"/>
    <w:rsid w:val="00D579D8"/>
    <w:rsid w:val="00D62D72"/>
    <w:rsid w:val="00D74A32"/>
    <w:rsid w:val="00D74F3A"/>
    <w:rsid w:val="00D77394"/>
    <w:rsid w:val="00D9111B"/>
    <w:rsid w:val="00D91CF4"/>
    <w:rsid w:val="00D95DB8"/>
    <w:rsid w:val="00D97D0E"/>
    <w:rsid w:val="00DA065A"/>
    <w:rsid w:val="00DA4D78"/>
    <w:rsid w:val="00DB4139"/>
    <w:rsid w:val="00DB69AC"/>
    <w:rsid w:val="00DC6EAB"/>
    <w:rsid w:val="00DE480F"/>
    <w:rsid w:val="00DE68AE"/>
    <w:rsid w:val="00DF02F4"/>
    <w:rsid w:val="00DF486C"/>
    <w:rsid w:val="00E02570"/>
    <w:rsid w:val="00E04290"/>
    <w:rsid w:val="00E06265"/>
    <w:rsid w:val="00E064CE"/>
    <w:rsid w:val="00E12939"/>
    <w:rsid w:val="00E15D48"/>
    <w:rsid w:val="00E23B56"/>
    <w:rsid w:val="00E24ED3"/>
    <w:rsid w:val="00E34467"/>
    <w:rsid w:val="00E35100"/>
    <w:rsid w:val="00E40021"/>
    <w:rsid w:val="00E415AA"/>
    <w:rsid w:val="00E4351B"/>
    <w:rsid w:val="00E5747B"/>
    <w:rsid w:val="00E6270B"/>
    <w:rsid w:val="00E655E4"/>
    <w:rsid w:val="00E6673D"/>
    <w:rsid w:val="00E67412"/>
    <w:rsid w:val="00E73601"/>
    <w:rsid w:val="00E76D07"/>
    <w:rsid w:val="00E82233"/>
    <w:rsid w:val="00E85E86"/>
    <w:rsid w:val="00E87D97"/>
    <w:rsid w:val="00E9173D"/>
    <w:rsid w:val="00E97B96"/>
    <w:rsid w:val="00EA498B"/>
    <w:rsid w:val="00EB0B95"/>
    <w:rsid w:val="00EB109C"/>
    <w:rsid w:val="00EB1413"/>
    <w:rsid w:val="00EB3400"/>
    <w:rsid w:val="00EB3DF1"/>
    <w:rsid w:val="00EB571A"/>
    <w:rsid w:val="00EB698E"/>
    <w:rsid w:val="00EB6BAE"/>
    <w:rsid w:val="00EC1F8D"/>
    <w:rsid w:val="00EC454C"/>
    <w:rsid w:val="00ED4FCD"/>
    <w:rsid w:val="00EE7A5D"/>
    <w:rsid w:val="00F12F33"/>
    <w:rsid w:val="00F26C5C"/>
    <w:rsid w:val="00F332AE"/>
    <w:rsid w:val="00F337D7"/>
    <w:rsid w:val="00F41580"/>
    <w:rsid w:val="00F41F1B"/>
    <w:rsid w:val="00F42243"/>
    <w:rsid w:val="00F44CA0"/>
    <w:rsid w:val="00F50050"/>
    <w:rsid w:val="00F51393"/>
    <w:rsid w:val="00F60916"/>
    <w:rsid w:val="00F83456"/>
    <w:rsid w:val="00F92417"/>
    <w:rsid w:val="00F9688D"/>
    <w:rsid w:val="00FA2514"/>
    <w:rsid w:val="00FB66B7"/>
    <w:rsid w:val="00FC39D3"/>
    <w:rsid w:val="00FC63F4"/>
    <w:rsid w:val="00FD40BF"/>
    <w:rsid w:val="00FE4A7F"/>
    <w:rsid w:val="00FF03BF"/>
    <w:rsid w:val="00FF0597"/>
    <w:rsid w:val="00FF27D5"/>
    <w:rsid w:val="00FF67C3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0B"/>
  </w:style>
  <w:style w:type="paragraph" w:styleId="Heading2">
    <w:name w:val="heading 2"/>
    <w:basedOn w:val="Normal"/>
    <w:next w:val="Normal"/>
    <w:link w:val="Heading2Char"/>
    <w:unhideWhenUsed/>
    <w:qFormat/>
    <w:rsid w:val="00BB4D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4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4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B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0B"/>
  </w:style>
  <w:style w:type="paragraph" w:styleId="Heading2">
    <w:name w:val="heading 2"/>
    <w:basedOn w:val="Normal"/>
    <w:next w:val="Normal"/>
    <w:link w:val="Heading2Char"/>
    <w:unhideWhenUsed/>
    <w:qFormat/>
    <w:rsid w:val="00BB4D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4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4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B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R K</dc:creator>
  <cp:lastModifiedBy>EMNRD Employee</cp:lastModifiedBy>
  <cp:revision>2</cp:revision>
  <cp:lastPrinted>2014-09-11T23:20:00Z</cp:lastPrinted>
  <dcterms:created xsi:type="dcterms:W3CDTF">2014-09-22T17:34:00Z</dcterms:created>
  <dcterms:modified xsi:type="dcterms:W3CDTF">2014-09-22T17:34:00Z</dcterms:modified>
</cp:coreProperties>
</file>